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485"/>
        <w:tblW w:w="0" w:type="auto"/>
        <w:tblLook w:val="04A0" w:firstRow="1" w:lastRow="0" w:firstColumn="1" w:lastColumn="0" w:noHBand="0" w:noVBand="1"/>
      </w:tblPr>
      <w:tblGrid>
        <w:gridCol w:w="1980"/>
        <w:gridCol w:w="3118"/>
        <w:gridCol w:w="4473"/>
      </w:tblGrid>
      <w:tr w:rsidR="00147E88" w:rsidRPr="00147E88" w14:paraId="35645A2F" w14:textId="77777777" w:rsidTr="00147E88">
        <w:tc>
          <w:tcPr>
            <w:tcW w:w="1980" w:type="dxa"/>
          </w:tcPr>
          <w:p w14:paraId="10619D60" w14:textId="4651E0CC" w:rsidR="00147E88" w:rsidRPr="00147E88" w:rsidRDefault="00147E88" w:rsidP="00147E88">
            <w:pPr>
              <w:rPr>
                <w:rFonts w:ascii="ＭＳ 明朝" w:hAnsi="ＭＳ 明朝"/>
                <w:sz w:val="24"/>
                <w:szCs w:val="24"/>
              </w:rPr>
            </w:pPr>
            <w:r w:rsidRPr="00147E88">
              <w:rPr>
                <w:rFonts w:ascii="ＭＳ 明朝" w:hAnsi="ＭＳ 明朝" w:hint="eastAsia"/>
                <w:sz w:val="24"/>
                <w:szCs w:val="24"/>
              </w:rPr>
              <w:t>評価対象事項</w:t>
            </w:r>
          </w:p>
        </w:tc>
        <w:tc>
          <w:tcPr>
            <w:tcW w:w="3118" w:type="dxa"/>
          </w:tcPr>
          <w:p w14:paraId="0BDF27D2" w14:textId="1247784E" w:rsidR="00147E88" w:rsidRPr="00147E88" w:rsidRDefault="00147E88" w:rsidP="00147E88">
            <w:pPr>
              <w:rPr>
                <w:rFonts w:ascii="ＭＳ 明朝" w:hAnsi="ＭＳ 明朝"/>
                <w:sz w:val="24"/>
                <w:szCs w:val="24"/>
              </w:rPr>
            </w:pPr>
            <w:r w:rsidRPr="00147E88">
              <w:rPr>
                <w:rFonts w:ascii="ＭＳ 明朝" w:hAnsi="ＭＳ 明朝" w:hint="eastAsia"/>
                <w:sz w:val="24"/>
                <w:szCs w:val="24"/>
              </w:rPr>
              <w:t>評価基準</w:t>
            </w:r>
          </w:p>
        </w:tc>
        <w:tc>
          <w:tcPr>
            <w:tcW w:w="4473" w:type="dxa"/>
          </w:tcPr>
          <w:p w14:paraId="0B0762C2" w14:textId="22EAFD03" w:rsidR="00147E88" w:rsidRPr="00147E88" w:rsidRDefault="00147E88" w:rsidP="00147E88">
            <w:pPr>
              <w:jc w:val="left"/>
              <w:rPr>
                <w:rFonts w:ascii="ＭＳ 明朝" w:hAnsi="ＭＳ 明朝"/>
                <w:sz w:val="24"/>
                <w:szCs w:val="24"/>
              </w:rPr>
            </w:pPr>
            <w:r w:rsidRPr="00147E88">
              <w:rPr>
                <w:rFonts w:ascii="ＭＳ 明朝" w:hAnsi="ＭＳ 明朝" w:hint="eastAsia"/>
                <w:sz w:val="24"/>
                <w:szCs w:val="24"/>
              </w:rPr>
              <w:t>点検・評価の方法</w:t>
            </w:r>
          </w:p>
        </w:tc>
      </w:tr>
      <w:tr w:rsidR="00147E88" w:rsidRPr="00147E88" w14:paraId="7401097C" w14:textId="77777777" w:rsidTr="00147E88">
        <w:trPr>
          <w:trHeight w:val="1356"/>
        </w:trPr>
        <w:tc>
          <w:tcPr>
            <w:tcW w:w="1980" w:type="dxa"/>
            <w:vMerge w:val="restart"/>
          </w:tcPr>
          <w:p w14:paraId="65E48F45" w14:textId="7B0EA268" w:rsidR="00147E88" w:rsidRPr="00147E88" w:rsidRDefault="00147E88" w:rsidP="00147E88">
            <w:pPr>
              <w:rPr>
                <w:rFonts w:ascii="ＭＳ 明朝" w:hAnsi="ＭＳ 明朝"/>
                <w:sz w:val="24"/>
                <w:szCs w:val="24"/>
              </w:rPr>
            </w:pPr>
            <w:r w:rsidRPr="00147E88">
              <w:rPr>
                <w:rFonts w:ascii="ＭＳ 明朝" w:hAnsi="ＭＳ 明朝" w:hint="eastAsia"/>
                <w:sz w:val="24"/>
                <w:szCs w:val="24"/>
              </w:rPr>
              <w:t>附属図書館における学習環境の整備に関する事項</w:t>
            </w:r>
          </w:p>
        </w:tc>
        <w:tc>
          <w:tcPr>
            <w:tcW w:w="3118" w:type="dxa"/>
          </w:tcPr>
          <w:p w14:paraId="42D6743F" w14:textId="0A8FD0DD" w:rsidR="00147E88" w:rsidRDefault="00147E88" w:rsidP="00147E88">
            <w:pPr>
              <w:ind w:left="136" w:hangingChars="50" w:hanging="136"/>
              <w:rPr>
                <w:rFonts w:ascii="ＭＳ 明朝" w:hAnsi="ＭＳ 明朝"/>
                <w:sz w:val="24"/>
                <w:szCs w:val="24"/>
              </w:rPr>
            </w:pPr>
            <w:r w:rsidRPr="00147E88">
              <w:rPr>
                <w:rFonts w:ascii="ＭＳ 明朝" w:hAnsi="ＭＳ 明朝"/>
                <w:sz w:val="24"/>
                <w:szCs w:val="24"/>
              </w:rPr>
              <w:t>1　図書館において</w:t>
            </w:r>
            <w:r w:rsidR="002375D6">
              <w:rPr>
                <w:rFonts w:ascii="ＭＳ 明朝" w:hAnsi="ＭＳ 明朝" w:hint="eastAsia"/>
                <w:sz w:val="24"/>
                <w:szCs w:val="24"/>
              </w:rPr>
              <w:t>，</w:t>
            </w:r>
            <w:r w:rsidRPr="00147E88">
              <w:rPr>
                <w:rFonts w:ascii="ＭＳ 明朝" w:hAnsi="ＭＳ 明朝"/>
                <w:sz w:val="24"/>
                <w:szCs w:val="24"/>
              </w:rPr>
              <w:t>教育研究上必要な資料を利用可能な状態に整備し</w:t>
            </w:r>
            <w:r w:rsidR="002375D6">
              <w:rPr>
                <w:rFonts w:ascii="ＭＳ 明朝" w:hAnsi="ＭＳ 明朝" w:hint="eastAsia"/>
                <w:sz w:val="24"/>
                <w:szCs w:val="24"/>
              </w:rPr>
              <w:t>，</w:t>
            </w:r>
            <w:r w:rsidRPr="00147E88">
              <w:rPr>
                <w:rFonts w:ascii="ＭＳ 明朝" w:hAnsi="ＭＳ 明朝"/>
                <w:sz w:val="24"/>
                <w:szCs w:val="24"/>
              </w:rPr>
              <w:t>有効に活用されていること</w:t>
            </w:r>
          </w:p>
          <w:p w14:paraId="41FAF8D8" w14:textId="77777777" w:rsidR="00147E88" w:rsidRPr="002375D6" w:rsidRDefault="00147E88" w:rsidP="00147E88">
            <w:pPr>
              <w:ind w:left="136" w:hangingChars="50" w:hanging="136"/>
              <w:rPr>
                <w:rFonts w:ascii="ＭＳ 明朝" w:hAnsi="ＭＳ 明朝"/>
                <w:sz w:val="24"/>
                <w:szCs w:val="24"/>
              </w:rPr>
            </w:pPr>
          </w:p>
          <w:p w14:paraId="0C592DE0" w14:textId="38366270" w:rsidR="00147E88" w:rsidRPr="00147E88" w:rsidRDefault="00147E88" w:rsidP="00147E88">
            <w:pPr>
              <w:rPr>
                <w:rFonts w:ascii="ＭＳ 明朝" w:hAnsi="ＭＳ 明朝"/>
                <w:sz w:val="24"/>
                <w:szCs w:val="24"/>
              </w:rPr>
            </w:pPr>
            <w:r w:rsidRPr="00147E88">
              <w:rPr>
                <w:rFonts w:ascii="ＭＳ 明朝" w:hAnsi="ＭＳ 明朝" w:hint="eastAsia"/>
                <w:sz w:val="24"/>
                <w:szCs w:val="24"/>
              </w:rPr>
              <w:t>〔機構：分析項目</w:t>
            </w:r>
            <w:r w:rsidRPr="00147E88">
              <w:rPr>
                <w:rFonts w:ascii="ＭＳ 明朝" w:hAnsi="ＭＳ 明朝"/>
                <w:sz w:val="24"/>
                <w:szCs w:val="24"/>
              </w:rPr>
              <w:t>4-1-5に該当〕</w:t>
            </w:r>
          </w:p>
        </w:tc>
        <w:tc>
          <w:tcPr>
            <w:tcW w:w="4473" w:type="dxa"/>
          </w:tcPr>
          <w:p w14:paraId="7F6B2DA6" w14:textId="3FF86295" w:rsidR="002375D6" w:rsidRPr="00147E88" w:rsidRDefault="002375D6" w:rsidP="002375D6">
            <w:pPr>
              <w:ind w:left="743" w:hangingChars="273" w:hanging="743"/>
              <w:rPr>
                <w:rFonts w:ascii="ＭＳ 明朝" w:hAnsi="ＭＳ 明朝"/>
                <w:sz w:val="24"/>
                <w:szCs w:val="24"/>
              </w:rPr>
            </w:pPr>
            <w:r w:rsidRPr="00147E88">
              <w:rPr>
                <w:rFonts w:ascii="ＭＳ 明朝" w:hAnsi="ＭＳ 明朝" w:hint="eastAsia"/>
                <w:sz w:val="24"/>
                <w:szCs w:val="24"/>
              </w:rPr>
              <w:t>・</w:t>
            </w:r>
            <w:r>
              <w:rPr>
                <w:rFonts w:ascii="ＭＳ 明朝" w:hAnsi="ＭＳ 明朝" w:hint="eastAsia"/>
                <w:sz w:val="24"/>
                <w:szCs w:val="24"/>
              </w:rPr>
              <w:t>1</w:t>
            </w:r>
            <w:r w:rsidRPr="00147E88">
              <w:rPr>
                <w:rFonts w:ascii="ＭＳ 明朝" w:hAnsi="ＭＳ 明朝"/>
                <w:sz w:val="24"/>
                <w:szCs w:val="24"/>
              </w:rPr>
              <w:t xml:space="preserve">-1　</w:t>
            </w:r>
            <w:r>
              <w:rPr>
                <w:rFonts w:ascii="ＭＳ 明朝" w:hAnsi="ＭＳ 明朝" w:hint="eastAsia"/>
                <w:sz w:val="24"/>
                <w:szCs w:val="24"/>
              </w:rPr>
              <w:t>図書館において教育研究上</w:t>
            </w:r>
            <w:r w:rsidRPr="00147E88">
              <w:rPr>
                <w:rFonts w:ascii="ＭＳ 明朝" w:hAnsi="ＭＳ 明朝"/>
                <w:sz w:val="24"/>
                <w:szCs w:val="24"/>
              </w:rPr>
              <w:t>必要</w:t>
            </w:r>
            <w:r>
              <w:rPr>
                <w:rFonts w:ascii="ＭＳ 明朝" w:hAnsi="ＭＳ 明朝" w:hint="eastAsia"/>
                <w:sz w:val="24"/>
                <w:szCs w:val="24"/>
              </w:rPr>
              <w:t>な資料を</w:t>
            </w:r>
            <w:r w:rsidRPr="00147E88">
              <w:rPr>
                <w:rFonts w:ascii="ＭＳ 明朝" w:hAnsi="ＭＳ 明朝"/>
                <w:sz w:val="24"/>
                <w:szCs w:val="24"/>
              </w:rPr>
              <w:t>利用</w:t>
            </w:r>
            <w:r>
              <w:rPr>
                <w:rFonts w:ascii="ＭＳ 明朝" w:hAnsi="ＭＳ 明朝" w:hint="eastAsia"/>
                <w:sz w:val="24"/>
                <w:szCs w:val="24"/>
              </w:rPr>
              <w:t>可能な状態に整備し，有効に活用され</w:t>
            </w:r>
            <w:r w:rsidRPr="00147E88">
              <w:rPr>
                <w:rFonts w:ascii="ＭＳ 明朝" w:hAnsi="ＭＳ 明朝"/>
                <w:sz w:val="24"/>
                <w:szCs w:val="24"/>
              </w:rPr>
              <w:t>ていることを確認する。</w:t>
            </w:r>
          </w:p>
          <w:p w14:paraId="364D1623" w14:textId="77777777" w:rsidR="002375D6" w:rsidRDefault="002375D6" w:rsidP="00147E88">
            <w:pPr>
              <w:ind w:left="136" w:hangingChars="50" w:hanging="136"/>
              <w:rPr>
                <w:rFonts w:ascii="ＭＳ 明朝" w:hAnsi="ＭＳ 明朝"/>
                <w:sz w:val="24"/>
                <w:szCs w:val="24"/>
              </w:rPr>
            </w:pPr>
          </w:p>
          <w:p w14:paraId="23389227" w14:textId="77777777" w:rsidR="002375D6" w:rsidRDefault="002375D6" w:rsidP="00147E88">
            <w:pPr>
              <w:ind w:left="136" w:hangingChars="50" w:hanging="136"/>
              <w:rPr>
                <w:rFonts w:ascii="ＭＳ 明朝" w:hAnsi="ＭＳ 明朝"/>
                <w:sz w:val="24"/>
                <w:szCs w:val="24"/>
              </w:rPr>
            </w:pPr>
            <w:r>
              <w:rPr>
                <w:rFonts w:ascii="ＭＳ 明朝" w:hAnsi="ＭＳ 明朝" w:hint="eastAsia"/>
                <w:sz w:val="24"/>
                <w:szCs w:val="24"/>
              </w:rPr>
              <w:t>【根拠資料・データ】</w:t>
            </w:r>
          </w:p>
          <w:p w14:paraId="7D12682D" w14:textId="77777777" w:rsidR="00147E88" w:rsidRDefault="002375D6" w:rsidP="00147E88">
            <w:pPr>
              <w:ind w:left="136" w:hangingChars="50" w:hanging="136"/>
              <w:rPr>
                <w:rFonts w:ascii="ＭＳ 明朝" w:hAnsi="ＭＳ 明朝"/>
                <w:sz w:val="24"/>
                <w:szCs w:val="24"/>
              </w:rPr>
            </w:pPr>
            <w:r>
              <w:rPr>
                <w:rFonts w:ascii="ＭＳ 明朝" w:hAnsi="ＭＳ 明朝" w:hint="eastAsia"/>
                <w:sz w:val="24"/>
                <w:szCs w:val="24"/>
              </w:rPr>
              <w:t>・学術情報基盤実態調査（大学図書館編）（全</w:t>
            </w:r>
            <w:r w:rsidR="009C7CE4">
              <w:rPr>
                <w:rFonts w:ascii="ＭＳ 明朝" w:hAnsi="ＭＳ 明朝" w:hint="eastAsia"/>
                <w:sz w:val="24"/>
                <w:szCs w:val="24"/>
              </w:rPr>
              <w:t>5</w:t>
            </w:r>
            <w:r>
              <w:rPr>
                <w:rFonts w:ascii="ＭＳ 明朝" w:hAnsi="ＭＳ 明朝" w:hint="eastAsia"/>
                <w:sz w:val="24"/>
                <w:szCs w:val="24"/>
              </w:rPr>
              <w:t>館）</w:t>
            </w:r>
          </w:p>
          <w:p w14:paraId="54419BC0" w14:textId="560A1B25" w:rsidR="000669B5" w:rsidRPr="002375D6" w:rsidRDefault="000669B5" w:rsidP="00147E88">
            <w:pPr>
              <w:ind w:left="136" w:hangingChars="50" w:hanging="136"/>
              <w:rPr>
                <w:rFonts w:ascii="ＭＳ 明朝" w:hAnsi="ＭＳ 明朝" w:hint="eastAsia"/>
                <w:sz w:val="24"/>
                <w:szCs w:val="24"/>
              </w:rPr>
            </w:pPr>
            <w:r w:rsidRPr="000669B5">
              <w:rPr>
                <w:rFonts w:ascii="ＭＳ 明朝" w:hAnsi="ＭＳ 明朝" w:hint="eastAsia"/>
                <w:sz w:val="24"/>
                <w:szCs w:val="24"/>
              </w:rPr>
              <w:t>・図書館利用者アンケート（意見聴取）</w:t>
            </w:r>
          </w:p>
        </w:tc>
      </w:tr>
      <w:tr w:rsidR="00147E88" w:rsidRPr="00147E88" w14:paraId="354A4856" w14:textId="77777777" w:rsidTr="00147E88">
        <w:trPr>
          <w:trHeight w:val="2538"/>
        </w:trPr>
        <w:tc>
          <w:tcPr>
            <w:tcW w:w="1980" w:type="dxa"/>
            <w:vMerge/>
          </w:tcPr>
          <w:p w14:paraId="66D5DA19" w14:textId="77777777" w:rsidR="00147E88" w:rsidRPr="00147E88" w:rsidRDefault="00147E88" w:rsidP="00147E88">
            <w:pPr>
              <w:rPr>
                <w:rFonts w:ascii="ＭＳ 明朝" w:hAnsi="ＭＳ 明朝"/>
                <w:sz w:val="24"/>
                <w:szCs w:val="24"/>
              </w:rPr>
            </w:pPr>
          </w:p>
        </w:tc>
        <w:tc>
          <w:tcPr>
            <w:tcW w:w="3118" w:type="dxa"/>
          </w:tcPr>
          <w:p w14:paraId="71002C0F" w14:textId="76ED71A0" w:rsidR="00147E88" w:rsidRDefault="00147E88" w:rsidP="00147E88">
            <w:pPr>
              <w:ind w:left="237" w:hangingChars="87" w:hanging="237"/>
              <w:rPr>
                <w:rFonts w:ascii="ＭＳ 明朝" w:hAnsi="ＭＳ 明朝"/>
                <w:sz w:val="24"/>
                <w:szCs w:val="24"/>
              </w:rPr>
            </w:pPr>
            <w:r w:rsidRPr="00147E88">
              <w:rPr>
                <w:rFonts w:ascii="ＭＳ 明朝" w:hAnsi="ＭＳ 明朝"/>
                <w:sz w:val="24"/>
                <w:szCs w:val="24"/>
              </w:rPr>
              <w:t>2　自主的学習環境が十分に整備され</w:t>
            </w:r>
            <w:r w:rsidR="002375D6">
              <w:rPr>
                <w:rFonts w:ascii="ＭＳ 明朝" w:hAnsi="ＭＳ 明朝" w:hint="eastAsia"/>
                <w:sz w:val="24"/>
                <w:szCs w:val="24"/>
              </w:rPr>
              <w:t>，</w:t>
            </w:r>
            <w:r w:rsidRPr="00147E88">
              <w:rPr>
                <w:rFonts w:ascii="ＭＳ 明朝" w:hAnsi="ＭＳ 明朝"/>
                <w:sz w:val="24"/>
                <w:szCs w:val="24"/>
              </w:rPr>
              <w:t>効果的に利用されていること</w:t>
            </w:r>
          </w:p>
          <w:p w14:paraId="54ED87AF" w14:textId="77777777" w:rsidR="00147E88" w:rsidRPr="002375D6" w:rsidRDefault="00147E88" w:rsidP="00147E88">
            <w:pPr>
              <w:rPr>
                <w:rFonts w:ascii="ＭＳ 明朝" w:hAnsi="ＭＳ 明朝"/>
                <w:sz w:val="24"/>
                <w:szCs w:val="24"/>
              </w:rPr>
            </w:pPr>
          </w:p>
          <w:p w14:paraId="351CDB42" w14:textId="2EA72074" w:rsidR="00147E88" w:rsidRPr="00147E88" w:rsidRDefault="00147E88" w:rsidP="00147E88">
            <w:pPr>
              <w:rPr>
                <w:rFonts w:ascii="ＭＳ 明朝" w:hAnsi="ＭＳ 明朝"/>
                <w:sz w:val="24"/>
                <w:szCs w:val="24"/>
              </w:rPr>
            </w:pPr>
            <w:r w:rsidRPr="00147E88">
              <w:rPr>
                <w:rFonts w:ascii="ＭＳ 明朝" w:hAnsi="ＭＳ 明朝" w:hint="eastAsia"/>
                <w:sz w:val="24"/>
                <w:szCs w:val="24"/>
              </w:rPr>
              <w:t>〔機構：分析項目</w:t>
            </w:r>
            <w:r w:rsidRPr="00147E88">
              <w:rPr>
                <w:rFonts w:ascii="ＭＳ 明朝" w:hAnsi="ＭＳ 明朝"/>
                <w:sz w:val="24"/>
                <w:szCs w:val="24"/>
              </w:rPr>
              <w:t>4-1-6に該当〕</w:t>
            </w:r>
          </w:p>
        </w:tc>
        <w:tc>
          <w:tcPr>
            <w:tcW w:w="4473" w:type="dxa"/>
          </w:tcPr>
          <w:p w14:paraId="0942F8AD" w14:textId="34473774" w:rsidR="00147E88" w:rsidRPr="00147E88" w:rsidRDefault="00147E88" w:rsidP="00147E88">
            <w:pPr>
              <w:ind w:left="743" w:hangingChars="273" w:hanging="743"/>
              <w:rPr>
                <w:rFonts w:ascii="ＭＳ 明朝" w:hAnsi="ＭＳ 明朝"/>
                <w:sz w:val="24"/>
                <w:szCs w:val="24"/>
              </w:rPr>
            </w:pPr>
            <w:r w:rsidRPr="00147E88">
              <w:rPr>
                <w:rFonts w:ascii="ＭＳ 明朝" w:hAnsi="ＭＳ 明朝" w:hint="eastAsia"/>
                <w:sz w:val="24"/>
                <w:szCs w:val="24"/>
              </w:rPr>
              <w:t>・</w:t>
            </w:r>
            <w:r w:rsidRPr="00147E88">
              <w:rPr>
                <w:rFonts w:ascii="ＭＳ 明朝" w:hAnsi="ＭＳ 明朝"/>
                <w:sz w:val="24"/>
                <w:szCs w:val="24"/>
              </w:rPr>
              <w:t>2-1　自主的学習環境の整備状況について</w:t>
            </w:r>
            <w:r w:rsidR="002375D6">
              <w:rPr>
                <w:rFonts w:ascii="ＭＳ 明朝" w:hAnsi="ＭＳ 明朝" w:hint="eastAsia"/>
                <w:sz w:val="24"/>
                <w:szCs w:val="24"/>
              </w:rPr>
              <w:t>，</w:t>
            </w:r>
            <w:r w:rsidRPr="00147E88">
              <w:rPr>
                <w:rFonts w:ascii="ＭＳ 明朝" w:hAnsi="ＭＳ 明朝"/>
                <w:sz w:val="24"/>
                <w:szCs w:val="24"/>
              </w:rPr>
              <w:t>その環境を必要とする学生が効果的に利用できるような状態になっていることを確認する。</w:t>
            </w:r>
          </w:p>
          <w:p w14:paraId="694ACA4E" w14:textId="18C8C5F0" w:rsidR="00147E88" w:rsidRPr="00147E88" w:rsidRDefault="00147E88" w:rsidP="00147E88">
            <w:pPr>
              <w:ind w:left="743" w:hangingChars="273" w:hanging="743"/>
              <w:rPr>
                <w:rFonts w:ascii="ＭＳ 明朝" w:hAnsi="ＭＳ 明朝"/>
                <w:sz w:val="24"/>
                <w:szCs w:val="24"/>
              </w:rPr>
            </w:pPr>
            <w:r w:rsidRPr="00147E88">
              <w:rPr>
                <w:rFonts w:ascii="ＭＳ 明朝" w:hAnsi="ＭＳ 明朝" w:hint="eastAsia"/>
                <w:sz w:val="24"/>
                <w:szCs w:val="24"/>
              </w:rPr>
              <w:t>・</w:t>
            </w:r>
            <w:r w:rsidRPr="00147E88">
              <w:rPr>
                <w:rFonts w:ascii="ＭＳ 明朝" w:hAnsi="ＭＳ 明朝"/>
                <w:sz w:val="24"/>
                <w:szCs w:val="24"/>
              </w:rPr>
              <w:t>2-2　自主的学習環境の整備等</w:t>
            </w:r>
            <w:r w:rsidR="002375D6">
              <w:rPr>
                <w:rFonts w:ascii="ＭＳ 明朝" w:hAnsi="ＭＳ 明朝" w:hint="eastAsia"/>
                <w:sz w:val="24"/>
                <w:szCs w:val="24"/>
              </w:rPr>
              <w:t>，</w:t>
            </w:r>
            <w:r w:rsidRPr="00147E88">
              <w:rPr>
                <w:rFonts w:ascii="ＭＳ 明朝" w:hAnsi="ＭＳ 明朝"/>
                <w:sz w:val="24"/>
                <w:szCs w:val="24"/>
              </w:rPr>
              <w:t>特色のある学習環境の構築により成果が得られている場合は</w:t>
            </w:r>
            <w:r w:rsidR="002375D6">
              <w:rPr>
                <w:rFonts w:ascii="ＭＳ 明朝" w:hAnsi="ＭＳ 明朝" w:hint="eastAsia"/>
                <w:sz w:val="24"/>
                <w:szCs w:val="24"/>
              </w:rPr>
              <w:t>，</w:t>
            </w:r>
            <w:r w:rsidRPr="00147E88">
              <w:rPr>
                <w:rFonts w:ascii="ＭＳ 明朝" w:hAnsi="ＭＳ 明朝"/>
                <w:sz w:val="24"/>
                <w:szCs w:val="24"/>
              </w:rPr>
              <w:t>その内容について確認する。</w:t>
            </w:r>
          </w:p>
          <w:p w14:paraId="753FFAC8" w14:textId="77777777" w:rsidR="00147E88" w:rsidRPr="00147E88" w:rsidRDefault="00147E88" w:rsidP="00147E88">
            <w:pPr>
              <w:rPr>
                <w:rFonts w:ascii="ＭＳ 明朝" w:hAnsi="ＭＳ 明朝"/>
                <w:sz w:val="24"/>
                <w:szCs w:val="24"/>
              </w:rPr>
            </w:pPr>
          </w:p>
          <w:p w14:paraId="3284D2CD" w14:textId="77777777" w:rsidR="00147E88" w:rsidRPr="00147E88" w:rsidRDefault="00147E88" w:rsidP="00147E88">
            <w:pPr>
              <w:rPr>
                <w:rFonts w:ascii="ＭＳ 明朝" w:hAnsi="ＭＳ 明朝"/>
                <w:sz w:val="24"/>
                <w:szCs w:val="24"/>
              </w:rPr>
            </w:pPr>
            <w:r w:rsidRPr="00147E88">
              <w:rPr>
                <w:rFonts w:ascii="ＭＳ 明朝" w:hAnsi="ＭＳ 明朝" w:hint="eastAsia"/>
                <w:sz w:val="24"/>
                <w:szCs w:val="24"/>
              </w:rPr>
              <w:t>【根拠資料・データ】</w:t>
            </w:r>
          </w:p>
          <w:p w14:paraId="345359EE" w14:textId="02E21B6B" w:rsidR="000669B5" w:rsidRDefault="00147E88" w:rsidP="000669B5">
            <w:pPr>
              <w:ind w:left="180" w:hangingChars="66" w:hanging="180"/>
              <w:rPr>
                <w:rFonts w:ascii="ＭＳ 明朝" w:hAnsi="ＭＳ 明朝"/>
                <w:sz w:val="24"/>
                <w:szCs w:val="24"/>
              </w:rPr>
            </w:pPr>
            <w:r w:rsidRPr="00147E88">
              <w:rPr>
                <w:rFonts w:ascii="ＭＳ 明朝" w:hAnsi="ＭＳ 明朝" w:hint="eastAsia"/>
                <w:sz w:val="24"/>
                <w:szCs w:val="24"/>
              </w:rPr>
              <w:t>・自主的学習環境整備状況一覧</w:t>
            </w:r>
          </w:p>
          <w:p w14:paraId="2F143537" w14:textId="7CADCD9C" w:rsidR="000669B5" w:rsidRPr="000669B5" w:rsidRDefault="00147E88" w:rsidP="000669B5">
            <w:pPr>
              <w:ind w:left="180" w:hangingChars="66" w:hanging="180"/>
              <w:rPr>
                <w:rFonts w:ascii="ＭＳ 明朝" w:hAnsi="ＭＳ 明朝" w:hint="eastAsia"/>
                <w:sz w:val="24"/>
                <w:szCs w:val="24"/>
              </w:rPr>
            </w:pPr>
            <w:r w:rsidRPr="00147E88">
              <w:rPr>
                <w:rFonts w:ascii="ＭＳ 明朝" w:hAnsi="ＭＳ 明朝" w:hint="eastAsia"/>
                <w:sz w:val="24"/>
                <w:szCs w:val="24"/>
              </w:rPr>
              <w:t>・図書館利用者アンケート</w:t>
            </w:r>
            <w:r w:rsidR="000669B5" w:rsidRPr="000669B5">
              <w:rPr>
                <w:rFonts w:ascii="ＭＳ 明朝" w:hAnsi="ＭＳ 明朝" w:hint="eastAsia"/>
                <w:sz w:val="24"/>
                <w:szCs w:val="24"/>
              </w:rPr>
              <w:t>（意見聴取）</w:t>
            </w:r>
          </w:p>
        </w:tc>
      </w:tr>
    </w:tbl>
    <w:p w14:paraId="34B04B3C" w14:textId="42E07A1B" w:rsidR="00DA5D69" w:rsidRPr="00147E88" w:rsidRDefault="00147E88">
      <w:pPr>
        <w:rPr>
          <w:rFonts w:ascii="ＭＳ 明朝" w:hAnsi="ＭＳ 明朝"/>
          <w:sz w:val="24"/>
          <w:szCs w:val="24"/>
        </w:rPr>
      </w:pPr>
      <w:r w:rsidRPr="00147E88">
        <w:rPr>
          <w:rFonts w:ascii="ＭＳ 明朝" w:hAnsi="ＭＳ 明朝" w:hint="eastAsia"/>
          <w:sz w:val="24"/>
          <w:szCs w:val="24"/>
        </w:rPr>
        <w:t>別表(第2条関係</w:t>
      </w:r>
      <w:r w:rsidRPr="00147E88">
        <w:rPr>
          <w:rFonts w:ascii="ＭＳ 明朝" w:hAnsi="ＭＳ 明朝"/>
          <w:sz w:val="24"/>
          <w:szCs w:val="24"/>
        </w:rPr>
        <w:t>)</w:t>
      </w:r>
    </w:p>
    <w:p w14:paraId="689F1C75" w14:textId="77777777" w:rsidR="00147E88" w:rsidRPr="00147E88" w:rsidRDefault="00147E88">
      <w:pPr>
        <w:rPr>
          <w:rFonts w:ascii="ＭＳ 明朝" w:hAnsi="ＭＳ 明朝"/>
          <w:sz w:val="24"/>
          <w:szCs w:val="24"/>
        </w:rPr>
      </w:pPr>
    </w:p>
    <w:sectPr w:rsidR="00147E88" w:rsidRPr="00147E88" w:rsidSect="00147E88">
      <w:pgSz w:w="11906" w:h="16838" w:code="9"/>
      <w:pgMar w:top="1701" w:right="1021" w:bottom="1021" w:left="1304" w:header="851" w:footer="992" w:gutter="0"/>
      <w:cols w:space="425"/>
      <w:docGrid w:type="linesAndChars" w:linePitch="328" w:charSpace="6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98D9" w14:textId="77777777" w:rsidR="00252A54" w:rsidRDefault="00252A54" w:rsidP="00EF7608">
      <w:pPr>
        <w:spacing w:line="240" w:lineRule="auto"/>
      </w:pPr>
      <w:r>
        <w:separator/>
      </w:r>
    </w:p>
  </w:endnote>
  <w:endnote w:type="continuationSeparator" w:id="0">
    <w:p w14:paraId="3A275572" w14:textId="77777777" w:rsidR="00252A54" w:rsidRDefault="00252A54" w:rsidP="00EF7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CAF8" w14:textId="77777777" w:rsidR="00252A54" w:rsidRDefault="00252A54" w:rsidP="00EF7608">
      <w:pPr>
        <w:spacing w:line="240" w:lineRule="auto"/>
      </w:pPr>
      <w:r>
        <w:separator/>
      </w:r>
    </w:p>
  </w:footnote>
  <w:footnote w:type="continuationSeparator" w:id="0">
    <w:p w14:paraId="34E2F61A" w14:textId="77777777" w:rsidR="00252A54" w:rsidRDefault="00252A54" w:rsidP="00EF76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AB"/>
    <w:rsid w:val="000669B5"/>
    <w:rsid w:val="00147E88"/>
    <w:rsid w:val="00192AC4"/>
    <w:rsid w:val="00196F83"/>
    <w:rsid w:val="00223344"/>
    <w:rsid w:val="002375D6"/>
    <w:rsid w:val="00252A54"/>
    <w:rsid w:val="002848BE"/>
    <w:rsid w:val="00385BE4"/>
    <w:rsid w:val="00422AAB"/>
    <w:rsid w:val="00631CBB"/>
    <w:rsid w:val="009A5426"/>
    <w:rsid w:val="009C7CE4"/>
    <w:rsid w:val="00B96303"/>
    <w:rsid w:val="00DA43EE"/>
    <w:rsid w:val="00EF7608"/>
    <w:rsid w:val="00FE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C5DE69"/>
  <w15:chartTrackingRefBased/>
  <w15:docId w15:val="{CB7DCEF8-2EB2-4455-A2E9-6FD3DB4D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E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608"/>
    <w:pPr>
      <w:tabs>
        <w:tab w:val="center" w:pos="4252"/>
        <w:tab w:val="right" w:pos="8504"/>
      </w:tabs>
      <w:snapToGrid w:val="0"/>
    </w:pPr>
  </w:style>
  <w:style w:type="character" w:customStyle="1" w:styleId="a5">
    <w:name w:val="ヘッダー (文字)"/>
    <w:basedOn w:val="a0"/>
    <w:link w:val="a4"/>
    <w:uiPriority w:val="99"/>
    <w:rsid w:val="00EF7608"/>
  </w:style>
  <w:style w:type="paragraph" w:styleId="a6">
    <w:name w:val="footer"/>
    <w:basedOn w:val="a"/>
    <w:link w:val="a7"/>
    <w:uiPriority w:val="99"/>
    <w:unhideWhenUsed/>
    <w:rsid w:val="00EF7608"/>
    <w:pPr>
      <w:tabs>
        <w:tab w:val="center" w:pos="4252"/>
        <w:tab w:val="right" w:pos="8504"/>
      </w:tabs>
      <w:snapToGrid w:val="0"/>
    </w:pPr>
  </w:style>
  <w:style w:type="character" w:customStyle="1" w:styleId="a7">
    <w:name w:val="フッター (文字)"/>
    <w:basedOn w:val="a0"/>
    <w:link w:val="a6"/>
    <w:uiPriority w:val="99"/>
    <w:rsid w:val="00EF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dc:creator>
  <cp:keywords/>
  <dc:description/>
  <cp:lastModifiedBy>本宮 瑞穂</cp:lastModifiedBy>
  <cp:revision>4</cp:revision>
  <cp:lastPrinted>2022-03-15T07:33:00Z</cp:lastPrinted>
  <dcterms:created xsi:type="dcterms:W3CDTF">2022-03-15T08:42:00Z</dcterms:created>
  <dcterms:modified xsi:type="dcterms:W3CDTF">2024-02-28T01:41:00Z</dcterms:modified>
</cp:coreProperties>
</file>