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16" w:rsidRPr="00793016" w:rsidRDefault="00793016" w:rsidP="00793016">
      <w:pPr>
        <w:suppressAutoHyphens/>
        <w:overflowPunct w:val="0"/>
        <w:jc w:val="left"/>
        <w:rPr>
          <w:rFonts w:ascii="ＭＳ 明朝" w:hAnsi="ＭＳ 明朝"/>
          <w:b/>
          <w:sz w:val="22"/>
          <w:szCs w:val="22"/>
        </w:rPr>
      </w:pPr>
      <w:r w:rsidRPr="00793016">
        <w:rPr>
          <w:rFonts w:ascii="ＭＳ 明朝" w:hAnsi="ＭＳ 明朝" w:hint="eastAsia"/>
          <w:b/>
          <w:sz w:val="22"/>
          <w:szCs w:val="22"/>
        </w:rPr>
        <w:t>別表</w:t>
      </w:r>
      <w:r w:rsidR="00726A41">
        <w:rPr>
          <w:rFonts w:ascii="ＭＳ 明朝" w:hAnsi="ＭＳ 明朝" w:hint="eastAsia"/>
          <w:b/>
          <w:sz w:val="22"/>
          <w:szCs w:val="22"/>
        </w:rPr>
        <w:t>第</w:t>
      </w:r>
      <w:r w:rsidRPr="00793016">
        <w:rPr>
          <w:rFonts w:ascii="ＭＳ 明朝" w:hAnsi="ＭＳ 明朝" w:hint="eastAsia"/>
          <w:b/>
          <w:sz w:val="22"/>
          <w:szCs w:val="22"/>
        </w:rPr>
        <w:t>1（第9条</w:t>
      </w:r>
      <w:r w:rsidR="00726A41">
        <w:rPr>
          <w:rFonts w:ascii="ＭＳ 明朝" w:hAnsi="ＭＳ 明朝" w:hint="eastAsia"/>
          <w:b/>
          <w:sz w:val="22"/>
          <w:szCs w:val="22"/>
        </w:rPr>
        <w:t>関係</w:t>
      </w:r>
      <w:r w:rsidRPr="00793016">
        <w:rPr>
          <w:rFonts w:ascii="ＭＳ 明朝" w:hAnsi="ＭＳ 明朝" w:hint="eastAsia"/>
          <w:b/>
          <w:sz w:val="22"/>
          <w:szCs w:val="22"/>
        </w:rPr>
        <w:t>）</w:t>
      </w:r>
    </w:p>
    <w:p w:rsidR="00793016" w:rsidRPr="00793016" w:rsidRDefault="00793016" w:rsidP="00793016">
      <w:pPr>
        <w:suppressAutoHyphens/>
        <w:overflowPunct w:val="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 xml:space="preserve">　　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の取扱</w:t>
      </w:r>
      <w:r w:rsidR="00C03120">
        <w:rPr>
          <w:rFonts w:ascii="ＭＳ 明朝" w:hAnsi="ＭＳ 明朝" w:hint="eastAsia"/>
          <w:sz w:val="22"/>
          <w:szCs w:val="22"/>
        </w:rPr>
        <w:t>い</w:t>
      </w:r>
      <w:r w:rsidRPr="00793016">
        <w:rPr>
          <w:rFonts w:ascii="ＭＳ 明朝" w:hAnsi="ＭＳ 明朝" w:hint="eastAsia"/>
          <w:sz w:val="22"/>
          <w:szCs w:val="22"/>
        </w:rPr>
        <w:t>においては，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のリスク群分類（付表1－1）を基準として，付表1－2に示した各項目をリスク評価し，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のバイオセーフティレベル（BSL）分類を定め，これに対応する実験手技と安全機器（付表2）及び実験室の設備（付表3）を適用することで，取扱者と以下に掲げる関連者の安全を確保する。実験動物における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の取扱いについても同様とする。</w:t>
      </w:r>
    </w:p>
    <w:p w:rsidR="00557B36" w:rsidRDefault="00557B36" w:rsidP="00557B36">
      <w:pPr>
        <w:widowControl/>
        <w:spacing w:line="240" w:lineRule="auto"/>
        <w:ind w:left="0" w:firstLine="0"/>
        <w:jc w:val="left"/>
        <w:rPr>
          <w:rFonts w:ascii="ＭＳ 明朝" w:hAnsi="ＭＳ 明朝"/>
          <w:sz w:val="22"/>
          <w:szCs w:val="22"/>
        </w:rPr>
      </w:pPr>
    </w:p>
    <w:p w:rsidR="00793016" w:rsidRPr="00793016" w:rsidRDefault="00793016" w:rsidP="00557B36">
      <w:pPr>
        <w:widowControl/>
        <w:spacing w:line="240" w:lineRule="auto"/>
        <w:ind w:left="0" w:firstLine="0"/>
        <w:jc w:val="left"/>
        <w:rPr>
          <w:rFonts w:ascii="ＭＳ 明朝" w:hAnsi="ＭＳ 明朝"/>
          <w:b/>
          <w:sz w:val="22"/>
          <w:szCs w:val="22"/>
        </w:rPr>
      </w:pPr>
      <w:r w:rsidRPr="00793016">
        <w:rPr>
          <w:rFonts w:ascii="ＭＳ 明朝" w:hAnsi="ＭＳ 明朝" w:hint="eastAsia"/>
          <w:b/>
          <w:sz w:val="22"/>
          <w:szCs w:val="22"/>
        </w:rPr>
        <w:t>付表1―1</w:t>
      </w:r>
    </w:p>
    <w:p w:rsidR="00793016" w:rsidRPr="00793016" w:rsidRDefault="00002D0D" w:rsidP="00793016">
      <w:pPr>
        <w:suppressAutoHyphens/>
        <w:overflowPunct w:val="0"/>
        <w:ind w:left="0" w:firstLineChars="100" w:firstLine="221"/>
        <w:jc w:val="lef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微生物等</w:t>
      </w:r>
      <w:r w:rsidR="00793016" w:rsidRPr="00793016">
        <w:rPr>
          <w:rFonts w:ascii="ＭＳ 明朝" w:hAnsi="ＭＳ 明朝" w:hint="eastAsia"/>
          <w:b/>
          <w:sz w:val="22"/>
          <w:szCs w:val="22"/>
        </w:rPr>
        <w:t xml:space="preserve">のリスク群による分類 </w:t>
      </w:r>
    </w:p>
    <w:p w:rsidR="00793016" w:rsidRPr="00793016" w:rsidRDefault="00793016" w:rsidP="00793016">
      <w:pPr>
        <w:suppressAutoHyphens/>
        <w:overflowPunct w:val="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 xml:space="preserve">　　本表においては，検査・研究活動を行う実験室における通常の取扱量</w:t>
      </w:r>
      <w:r w:rsidR="00726A41">
        <w:rPr>
          <w:rFonts w:ascii="ＭＳ 明朝" w:hAnsi="ＭＳ 明朝" w:hint="eastAsia"/>
          <w:sz w:val="22"/>
          <w:szCs w:val="22"/>
        </w:rPr>
        <w:t>及び</w:t>
      </w:r>
      <w:r w:rsidRPr="00793016">
        <w:rPr>
          <w:rFonts w:ascii="ＭＳ 明朝" w:hAnsi="ＭＳ 明朝" w:hint="eastAsia"/>
          <w:sz w:val="22"/>
          <w:szCs w:val="22"/>
        </w:rPr>
        <w:t>取扱方法を考慮し，ヒトへのリスクを基準として，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を4つのリスク群に分類した。家畜，環境，大量生産，バイオテロリズム対策など，それ以外の条件下における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のリスク群分類としては利用できない。「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取扱者」及び「関連者」（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取扱者と感染の可能性がある接触が直接</w:t>
      </w:r>
      <w:r w:rsidR="00726A41">
        <w:rPr>
          <w:rFonts w:ascii="ＭＳ 明朝" w:hAnsi="ＭＳ 明朝" w:hint="eastAsia"/>
          <w:sz w:val="22"/>
          <w:szCs w:val="22"/>
        </w:rPr>
        <w:t>又は</w:t>
      </w:r>
      <w:r w:rsidRPr="00793016">
        <w:rPr>
          <w:rFonts w:ascii="ＭＳ 明朝" w:hAnsi="ＭＳ 明朝" w:hint="eastAsia"/>
          <w:sz w:val="22"/>
          <w:szCs w:val="22"/>
        </w:rPr>
        <w:t>間接的に起こり</w:t>
      </w:r>
      <w:r w:rsidR="00726A41">
        <w:rPr>
          <w:rFonts w:ascii="ＭＳ 明朝" w:hAnsi="ＭＳ 明朝" w:hint="eastAsia"/>
          <w:sz w:val="22"/>
          <w:szCs w:val="22"/>
        </w:rPr>
        <w:t>得る</w:t>
      </w:r>
      <w:r w:rsidRPr="00793016">
        <w:rPr>
          <w:rFonts w:ascii="ＭＳ 明朝" w:hAnsi="ＭＳ 明朝" w:hint="eastAsia"/>
          <w:sz w:val="22"/>
          <w:szCs w:val="22"/>
        </w:rPr>
        <w:t>その他の人々。）の健康への影響に基づき，WHOの「実験室バイオセーフティ指針第3版（2004年）」の考え方を</w:t>
      </w:r>
      <w:r w:rsidR="00C03120">
        <w:rPr>
          <w:rFonts w:ascii="ＭＳ 明朝" w:hAnsi="ＭＳ 明朝" w:hint="eastAsia"/>
          <w:sz w:val="22"/>
          <w:szCs w:val="22"/>
        </w:rPr>
        <w:t>基</w:t>
      </w:r>
      <w:r w:rsidRPr="00793016">
        <w:rPr>
          <w:rFonts w:ascii="ＭＳ 明朝" w:hAnsi="ＭＳ 明朝" w:hint="eastAsia"/>
          <w:sz w:val="22"/>
          <w:szCs w:val="22"/>
        </w:rPr>
        <w:t>にして分類されている。</w:t>
      </w:r>
    </w:p>
    <w:p w:rsidR="00793016" w:rsidRPr="00793016" w:rsidRDefault="00793016" w:rsidP="00793016">
      <w:pPr>
        <w:suppressAutoHyphens/>
        <w:overflowPunct w:val="0"/>
        <w:jc w:val="left"/>
        <w:rPr>
          <w:rFonts w:ascii="ＭＳ 明朝" w:hAnsi="ＭＳ 明朝"/>
          <w:sz w:val="22"/>
          <w:szCs w:val="22"/>
        </w:rPr>
      </w:pPr>
    </w:p>
    <w:p w:rsidR="00793016" w:rsidRPr="00793016" w:rsidRDefault="00793016" w:rsidP="00793016">
      <w:pPr>
        <w:suppressAutoHyphens/>
        <w:overflowPunct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>リスク群1</w:t>
      </w:r>
    </w:p>
    <w:p w:rsidR="00793016" w:rsidRPr="00793016" w:rsidRDefault="00793016" w:rsidP="00557B36">
      <w:pPr>
        <w:suppressAutoHyphens/>
        <w:overflowPunct w:val="0"/>
        <w:ind w:leftChars="129" w:left="271" w:firstLineChars="100" w:firstLine="22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>（「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取扱者」及び「関連者」に対するリスクがないか低リスク）</w:t>
      </w:r>
    </w:p>
    <w:p w:rsidR="00793016" w:rsidRPr="00793016" w:rsidRDefault="00793016" w:rsidP="00793016">
      <w:pPr>
        <w:suppressAutoHyphens/>
        <w:overflowPunct w:val="0"/>
        <w:ind w:leftChars="129" w:left="271" w:firstLine="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>ヒト</w:t>
      </w:r>
      <w:r w:rsidR="00726A41">
        <w:rPr>
          <w:rFonts w:ascii="ＭＳ 明朝" w:hAnsi="ＭＳ 明朝" w:hint="eastAsia"/>
          <w:sz w:val="22"/>
          <w:szCs w:val="22"/>
        </w:rPr>
        <w:t>又は</w:t>
      </w:r>
      <w:r w:rsidRPr="00793016">
        <w:rPr>
          <w:rFonts w:ascii="ＭＳ 明朝" w:hAnsi="ＭＳ 明朝" w:hint="eastAsia"/>
          <w:sz w:val="22"/>
          <w:szCs w:val="22"/>
        </w:rPr>
        <w:t>動物に疾病を起こす見込のないもの。</w:t>
      </w:r>
    </w:p>
    <w:p w:rsidR="00793016" w:rsidRPr="00793016" w:rsidRDefault="00793016" w:rsidP="00793016">
      <w:pPr>
        <w:suppressAutoHyphens/>
        <w:overflowPunct w:val="0"/>
        <w:jc w:val="left"/>
        <w:rPr>
          <w:rFonts w:ascii="ＭＳ 明朝" w:hAnsi="ＭＳ 明朝"/>
          <w:sz w:val="22"/>
          <w:szCs w:val="22"/>
        </w:rPr>
      </w:pPr>
    </w:p>
    <w:p w:rsidR="00793016" w:rsidRPr="00793016" w:rsidRDefault="00793016" w:rsidP="00793016">
      <w:pPr>
        <w:suppressAutoHyphens/>
        <w:overflowPunct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>リスク群2</w:t>
      </w:r>
    </w:p>
    <w:p w:rsidR="00793016" w:rsidRPr="00793016" w:rsidRDefault="00557B36" w:rsidP="00557B36">
      <w:pPr>
        <w:suppressAutoHyphens/>
        <w:overflowPunct w:val="0"/>
        <w:ind w:leftChars="129" w:left="271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（「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>
        <w:rPr>
          <w:rFonts w:ascii="ＭＳ 明朝" w:hAnsi="ＭＳ 明朝" w:hint="eastAsia"/>
          <w:sz w:val="22"/>
          <w:szCs w:val="22"/>
        </w:rPr>
        <w:t>取扱者」に対する中等度リスク，「関連者」に対する低リスク）</w:t>
      </w:r>
    </w:p>
    <w:p w:rsidR="00793016" w:rsidRPr="00793016" w:rsidRDefault="00793016" w:rsidP="00793016">
      <w:pPr>
        <w:suppressAutoHyphens/>
        <w:overflowPunct w:val="0"/>
        <w:ind w:leftChars="129" w:left="271" w:firstLine="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>ヒト</w:t>
      </w:r>
      <w:r w:rsidR="00726A41">
        <w:rPr>
          <w:rFonts w:ascii="ＭＳ 明朝" w:hAnsi="ＭＳ 明朝" w:hint="eastAsia"/>
          <w:sz w:val="22"/>
          <w:szCs w:val="22"/>
        </w:rPr>
        <w:t>又は</w:t>
      </w:r>
      <w:r w:rsidRPr="00793016">
        <w:rPr>
          <w:rFonts w:ascii="ＭＳ 明朝" w:hAnsi="ＭＳ 明朝" w:hint="eastAsia"/>
          <w:sz w:val="22"/>
          <w:szCs w:val="22"/>
        </w:rPr>
        <w:t>動物に感染すると疾病を起こし得るが，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取扱者や関連者に対し，重大な健康被害を起こす見込のないもの。また，実験室内の曝露が重篤な感染を時に起こすこともあるが，有効な治療法，予防法があり，関連者への伝幡のリスクが低いもの。</w:t>
      </w:r>
    </w:p>
    <w:p w:rsidR="00793016" w:rsidRPr="00793016" w:rsidRDefault="00793016" w:rsidP="00793016">
      <w:pPr>
        <w:suppressAutoHyphens/>
        <w:overflowPunct w:val="0"/>
        <w:jc w:val="left"/>
        <w:rPr>
          <w:rFonts w:ascii="ＭＳ 明朝" w:hAnsi="ＭＳ 明朝"/>
          <w:sz w:val="22"/>
          <w:szCs w:val="22"/>
        </w:rPr>
      </w:pPr>
    </w:p>
    <w:p w:rsidR="00793016" w:rsidRPr="00793016" w:rsidRDefault="00793016" w:rsidP="00793016">
      <w:pPr>
        <w:suppressAutoHyphens/>
        <w:overflowPunct w:val="0"/>
        <w:ind w:left="56" w:firstLineChars="100" w:firstLine="22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>リスク群3</w:t>
      </w:r>
    </w:p>
    <w:p w:rsidR="00793016" w:rsidRPr="00793016" w:rsidRDefault="00793016" w:rsidP="00557B36">
      <w:pPr>
        <w:suppressAutoHyphens/>
        <w:overflowPunct w:val="0"/>
        <w:ind w:leftChars="114" w:left="239" w:firstLineChars="100" w:firstLine="22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>（「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取扱者」に対する高リスク，「関連者」に対する低リスク）</w:t>
      </w:r>
    </w:p>
    <w:p w:rsidR="00793016" w:rsidRPr="00793016" w:rsidRDefault="00793016" w:rsidP="00793016">
      <w:pPr>
        <w:suppressAutoHyphens/>
        <w:overflowPunct w:val="0"/>
        <w:ind w:leftChars="114" w:left="239" w:firstLine="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>ヒト</w:t>
      </w:r>
      <w:r w:rsidR="00726A41">
        <w:rPr>
          <w:rFonts w:ascii="ＭＳ 明朝" w:hAnsi="ＭＳ 明朝" w:hint="eastAsia"/>
          <w:sz w:val="22"/>
          <w:szCs w:val="22"/>
        </w:rPr>
        <w:t>又は</w:t>
      </w:r>
      <w:r w:rsidRPr="00793016">
        <w:rPr>
          <w:rFonts w:ascii="ＭＳ 明朝" w:hAnsi="ＭＳ 明朝" w:hint="eastAsia"/>
          <w:sz w:val="22"/>
          <w:szCs w:val="22"/>
        </w:rPr>
        <w:t>動物に感染すると重篤な疾病を起こすが，通常，感染者から関連者への伝幡の可能性が低いもの。有効な治療法，予防法があるもの。</w:t>
      </w:r>
    </w:p>
    <w:p w:rsidR="00793016" w:rsidRPr="00793016" w:rsidRDefault="00793016" w:rsidP="00793016">
      <w:pPr>
        <w:suppressAutoHyphens/>
        <w:overflowPunct w:val="0"/>
        <w:jc w:val="left"/>
        <w:rPr>
          <w:rFonts w:ascii="ＭＳ 明朝" w:hAnsi="ＭＳ 明朝"/>
          <w:sz w:val="22"/>
          <w:szCs w:val="22"/>
        </w:rPr>
      </w:pPr>
    </w:p>
    <w:p w:rsidR="00793016" w:rsidRPr="00793016" w:rsidRDefault="00793016" w:rsidP="00793016">
      <w:pPr>
        <w:suppressAutoHyphens/>
        <w:overflowPunct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>リスク群4</w:t>
      </w:r>
    </w:p>
    <w:p w:rsidR="00793016" w:rsidRPr="00793016" w:rsidRDefault="00793016" w:rsidP="00557B36">
      <w:pPr>
        <w:suppressAutoHyphens/>
        <w:overflowPunct w:val="0"/>
        <w:ind w:leftChars="100" w:left="210" w:firstLineChars="100" w:firstLine="22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>（「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取扱者」及び「関連者」に対する高リスク）</w:t>
      </w:r>
    </w:p>
    <w:p w:rsidR="00793016" w:rsidRPr="00793016" w:rsidRDefault="00793016" w:rsidP="00793016">
      <w:pPr>
        <w:suppressAutoHyphens/>
        <w:overflowPunct w:val="0"/>
        <w:ind w:leftChars="100" w:left="210" w:firstLine="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>ヒト</w:t>
      </w:r>
      <w:r w:rsidR="00726A41">
        <w:rPr>
          <w:rFonts w:ascii="ＭＳ 明朝" w:hAnsi="ＭＳ 明朝" w:hint="eastAsia"/>
          <w:sz w:val="22"/>
          <w:szCs w:val="22"/>
        </w:rPr>
        <w:t>又は</w:t>
      </w:r>
      <w:r w:rsidRPr="00793016">
        <w:rPr>
          <w:rFonts w:ascii="ＭＳ 明朝" w:hAnsi="ＭＳ 明朝" w:hint="eastAsia"/>
          <w:sz w:val="22"/>
          <w:szCs w:val="22"/>
        </w:rPr>
        <w:t>動物に感染すると重篤な疾病を起こし，感染者から関連者への伝幡が直接</w:t>
      </w:r>
      <w:r w:rsidR="00C03120">
        <w:rPr>
          <w:rFonts w:ascii="ＭＳ 明朝" w:hAnsi="ＭＳ 明朝" w:hint="eastAsia"/>
          <w:sz w:val="22"/>
          <w:szCs w:val="22"/>
        </w:rPr>
        <w:t>又</w:t>
      </w:r>
      <w:r w:rsidRPr="00793016">
        <w:rPr>
          <w:rFonts w:ascii="ＭＳ 明朝" w:hAnsi="ＭＳ 明朝" w:hint="eastAsia"/>
          <w:sz w:val="22"/>
          <w:szCs w:val="22"/>
        </w:rPr>
        <w:t>は間接に起こり得るもの。通常，有効な治療法，予防法がないもの。</w:t>
      </w:r>
    </w:p>
    <w:p w:rsidR="00793016" w:rsidRPr="00793016" w:rsidRDefault="00793016">
      <w:pPr>
        <w:widowControl/>
        <w:spacing w:line="240" w:lineRule="auto"/>
        <w:ind w:left="0" w:firstLine="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/>
          <w:sz w:val="22"/>
          <w:szCs w:val="22"/>
        </w:rPr>
        <w:br w:type="page"/>
      </w:r>
    </w:p>
    <w:p w:rsidR="00793016" w:rsidRPr="00793016" w:rsidRDefault="00793016" w:rsidP="00793016">
      <w:pPr>
        <w:suppressAutoHyphens/>
        <w:overflowPunct w:val="0"/>
        <w:jc w:val="left"/>
        <w:rPr>
          <w:rFonts w:ascii="ＭＳ 明朝" w:hAnsi="ＭＳ 明朝"/>
          <w:b/>
          <w:sz w:val="22"/>
          <w:szCs w:val="22"/>
        </w:rPr>
      </w:pPr>
      <w:r w:rsidRPr="00793016">
        <w:rPr>
          <w:rFonts w:ascii="ＭＳ 明朝" w:hAnsi="ＭＳ 明朝" w:hint="eastAsia"/>
          <w:b/>
          <w:sz w:val="22"/>
          <w:szCs w:val="22"/>
        </w:rPr>
        <w:lastRenderedPageBreak/>
        <w:t>付表1－2</w:t>
      </w:r>
    </w:p>
    <w:p w:rsidR="00793016" w:rsidRPr="00793016" w:rsidRDefault="00793016" w:rsidP="00793016">
      <w:pPr>
        <w:suppressAutoHyphens/>
        <w:overflowPunct w:val="0"/>
        <w:ind w:left="0" w:firstLineChars="100" w:firstLine="221"/>
        <w:jc w:val="left"/>
        <w:rPr>
          <w:rFonts w:ascii="ＭＳ 明朝" w:hAnsi="ＭＳ 明朝"/>
          <w:b/>
          <w:sz w:val="22"/>
          <w:szCs w:val="22"/>
        </w:rPr>
      </w:pPr>
      <w:r w:rsidRPr="00793016">
        <w:rPr>
          <w:rFonts w:ascii="ＭＳ 明朝" w:hAnsi="ＭＳ 明朝" w:hint="eastAsia"/>
          <w:b/>
          <w:sz w:val="22"/>
          <w:szCs w:val="22"/>
        </w:rPr>
        <w:t>リスク評価項目</w:t>
      </w:r>
    </w:p>
    <w:p w:rsidR="00793016" w:rsidRPr="00793016" w:rsidRDefault="00002D0D" w:rsidP="00793016">
      <w:pPr>
        <w:suppressAutoHyphens/>
        <w:overflowPunct w:val="0"/>
        <w:ind w:leftChars="100" w:left="21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微生物等</w:t>
      </w:r>
      <w:r w:rsidR="00793016" w:rsidRPr="00793016">
        <w:rPr>
          <w:rFonts w:ascii="ＭＳ 明朝" w:hAnsi="ＭＳ 明朝" w:hint="eastAsia"/>
          <w:sz w:val="22"/>
          <w:szCs w:val="22"/>
        </w:rPr>
        <w:t>を実験室内で取</w:t>
      </w:r>
      <w:r w:rsidR="00C03120">
        <w:rPr>
          <w:rFonts w:ascii="ＭＳ 明朝" w:hAnsi="ＭＳ 明朝" w:hint="eastAsia"/>
          <w:sz w:val="22"/>
          <w:szCs w:val="22"/>
        </w:rPr>
        <w:t>り</w:t>
      </w:r>
      <w:r w:rsidR="00793016" w:rsidRPr="00793016">
        <w:rPr>
          <w:rFonts w:ascii="ＭＳ 明朝" w:hAnsi="ＭＳ 明朝" w:hint="eastAsia"/>
          <w:sz w:val="22"/>
          <w:szCs w:val="22"/>
        </w:rPr>
        <w:t>扱う場合の</w:t>
      </w:r>
      <w:r>
        <w:rPr>
          <w:rFonts w:ascii="ＭＳ 明朝" w:hAnsi="ＭＳ 明朝" w:hint="eastAsia"/>
          <w:sz w:val="22"/>
          <w:szCs w:val="22"/>
        </w:rPr>
        <w:t>微生物等</w:t>
      </w:r>
      <w:r w:rsidR="00793016" w:rsidRPr="00793016">
        <w:rPr>
          <w:rFonts w:ascii="ＭＳ 明朝" w:hAnsi="ＭＳ 明朝" w:hint="eastAsia"/>
          <w:sz w:val="22"/>
          <w:szCs w:val="22"/>
        </w:rPr>
        <w:t>の取扱</w:t>
      </w:r>
      <w:r w:rsidR="00C03120">
        <w:rPr>
          <w:rFonts w:ascii="ＭＳ 明朝" w:hAnsi="ＭＳ 明朝" w:hint="eastAsia"/>
          <w:sz w:val="22"/>
          <w:szCs w:val="22"/>
        </w:rPr>
        <w:t>い</w:t>
      </w:r>
      <w:r w:rsidR="00793016" w:rsidRPr="00793016">
        <w:rPr>
          <w:rFonts w:ascii="ＭＳ 明朝" w:hAnsi="ＭＳ 明朝" w:hint="eastAsia"/>
          <w:sz w:val="22"/>
          <w:szCs w:val="22"/>
        </w:rPr>
        <w:t>の具体的なバイオセーフティレベル（BSL）分類は，付表1－1（</w:t>
      </w:r>
      <w:r>
        <w:rPr>
          <w:rFonts w:ascii="ＭＳ 明朝" w:hAnsi="ＭＳ 明朝" w:hint="eastAsia"/>
          <w:sz w:val="22"/>
          <w:szCs w:val="22"/>
        </w:rPr>
        <w:t>微生物等</w:t>
      </w:r>
      <w:r w:rsidR="00C03120">
        <w:rPr>
          <w:rFonts w:ascii="ＭＳ 明朝" w:hAnsi="ＭＳ 明朝" w:hint="eastAsia"/>
          <w:sz w:val="22"/>
          <w:szCs w:val="22"/>
        </w:rPr>
        <w:t>のリスク群による分類）を参照し</w:t>
      </w:r>
      <w:r w:rsidR="00793016" w:rsidRPr="00793016">
        <w:rPr>
          <w:rFonts w:ascii="ＭＳ 明朝" w:hAnsi="ＭＳ 明朝" w:hint="eastAsia"/>
          <w:sz w:val="22"/>
          <w:szCs w:val="22"/>
        </w:rPr>
        <w:t>，WHOの「実験室バイオセーフティ指針第3版（2004年）」の考え方を</w:t>
      </w:r>
      <w:r w:rsidR="00726A41">
        <w:rPr>
          <w:rFonts w:ascii="ＭＳ 明朝" w:hAnsi="ＭＳ 明朝" w:hint="eastAsia"/>
          <w:sz w:val="22"/>
          <w:szCs w:val="22"/>
        </w:rPr>
        <w:t>基</w:t>
      </w:r>
      <w:r w:rsidR="00793016" w:rsidRPr="00793016">
        <w:rPr>
          <w:rFonts w:ascii="ＭＳ 明朝" w:hAnsi="ＭＳ 明朝" w:hint="eastAsia"/>
          <w:sz w:val="22"/>
          <w:szCs w:val="22"/>
        </w:rPr>
        <w:t>にして，以下の各項目をリスク評価して決定する。</w:t>
      </w:r>
    </w:p>
    <w:p w:rsidR="00793016" w:rsidRPr="00793016" w:rsidRDefault="00793016" w:rsidP="00793016">
      <w:pPr>
        <w:suppressAutoHyphens/>
        <w:overflowPunct w:val="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>1　取</w:t>
      </w:r>
      <w:r w:rsidR="00726A41">
        <w:rPr>
          <w:rFonts w:ascii="ＭＳ 明朝" w:hAnsi="ＭＳ 明朝" w:hint="eastAsia"/>
          <w:sz w:val="22"/>
          <w:szCs w:val="22"/>
        </w:rPr>
        <w:t>り</w:t>
      </w:r>
      <w:r w:rsidRPr="00793016">
        <w:rPr>
          <w:rFonts w:ascii="ＭＳ 明朝" w:hAnsi="ＭＳ 明朝" w:hint="eastAsia"/>
          <w:sz w:val="22"/>
          <w:szCs w:val="22"/>
        </w:rPr>
        <w:t>扱う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="00C03120">
        <w:rPr>
          <w:rFonts w:ascii="ＭＳ 明朝" w:hAnsi="ＭＳ 明朝" w:hint="eastAsia"/>
          <w:sz w:val="22"/>
          <w:szCs w:val="22"/>
        </w:rPr>
        <w:t>の病原性（量，取扱条件も考慮する。）</w:t>
      </w:r>
    </w:p>
    <w:p w:rsidR="00793016" w:rsidRPr="00793016" w:rsidRDefault="00793016" w:rsidP="00793016">
      <w:pPr>
        <w:suppressAutoHyphens/>
        <w:overflowPunct w:val="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 xml:space="preserve">2　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="00C03120">
        <w:rPr>
          <w:rFonts w:ascii="ＭＳ 明朝" w:hAnsi="ＭＳ 明朝" w:hint="eastAsia"/>
          <w:sz w:val="22"/>
          <w:szCs w:val="22"/>
        </w:rPr>
        <w:t>の取扱様式（エアロゾルの発生の有無を考慮する。）</w:t>
      </w:r>
    </w:p>
    <w:p w:rsidR="00793016" w:rsidRPr="00793016" w:rsidRDefault="00793016" w:rsidP="00793016">
      <w:pPr>
        <w:suppressAutoHyphens/>
        <w:overflowPunct w:val="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>3　取</w:t>
      </w:r>
      <w:r w:rsidR="00726A41">
        <w:rPr>
          <w:rFonts w:ascii="ＭＳ 明朝" w:hAnsi="ＭＳ 明朝" w:hint="eastAsia"/>
          <w:sz w:val="22"/>
          <w:szCs w:val="22"/>
        </w:rPr>
        <w:t>り</w:t>
      </w:r>
      <w:r w:rsidRPr="00793016">
        <w:rPr>
          <w:rFonts w:ascii="ＭＳ 明朝" w:hAnsi="ＭＳ 明朝" w:hint="eastAsia"/>
          <w:sz w:val="22"/>
          <w:szCs w:val="22"/>
        </w:rPr>
        <w:t>扱う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="00C03120">
        <w:rPr>
          <w:rFonts w:ascii="ＭＳ 明朝" w:hAnsi="ＭＳ 明朝" w:hint="eastAsia"/>
          <w:sz w:val="22"/>
          <w:szCs w:val="22"/>
        </w:rPr>
        <w:t>が国内に常在するか否か</w:t>
      </w:r>
    </w:p>
    <w:p w:rsidR="00793016" w:rsidRPr="00793016" w:rsidRDefault="00793016" w:rsidP="00793016">
      <w:pPr>
        <w:suppressAutoHyphens/>
        <w:overflowPunct w:val="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>4　取</w:t>
      </w:r>
      <w:r w:rsidR="00726A41">
        <w:rPr>
          <w:rFonts w:ascii="ＭＳ 明朝" w:hAnsi="ＭＳ 明朝" w:hint="eastAsia"/>
          <w:sz w:val="22"/>
          <w:szCs w:val="22"/>
        </w:rPr>
        <w:t>り</w:t>
      </w:r>
      <w:r w:rsidRPr="00793016">
        <w:rPr>
          <w:rFonts w:ascii="ＭＳ 明朝" w:hAnsi="ＭＳ 明朝" w:hint="eastAsia"/>
          <w:sz w:val="22"/>
          <w:szCs w:val="22"/>
        </w:rPr>
        <w:t>扱う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の伝播様式と宿主の種類（取扱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に対する免疫状況，宿主の密度と移動，媒介動物の存在，</w:t>
      </w:r>
      <w:r w:rsidR="00C03120">
        <w:rPr>
          <w:rFonts w:ascii="ＭＳ 明朝" w:hAnsi="ＭＳ 明朝" w:hint="eastAsia"/>
          <w:sz w:val="22"/>
          <w:szCs w:val="22"/>
        </w:rPr>
        <w:t>衛生状況も考慮する</w:t>
      </w:r>
      <w:r w:rsidRPr="00793016">
        <w:rPr>
          <w:rFonts w:ascii="ＭＳ 明朝" w:hAnsi="ＭＳ 明朝" w:hint="eastAsia"/>
          <w:sz w:val="22"/>
          <w:szCs w:val="22"/>
        </w:rPr>
        <w:t>。</w:t>
      </w:r>
      <w:r w:rsidR="00C03120">
        <w:rPr>
          <w:rFonts w:ascii="ＭＳ 明朝" w:hAnsi="ＭＳ 明朝" w:hint="eastAsia"/>
          <w:sz w:val="22"/>
          <w:szCs w:val="22"/>
        </w:rPr>
        <w:t>）</w:t>
      </w:r>
    </w:p>
    <w:p w:rsidR="00793016" w:rsidRPr="00793016" w:rsidRDefault="00793016" w:rsidP="00793016">
      <w:pPr>
        <w:suppressAutoHyphens/>
        <w:overflowPunct w:val="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>5　有効な予防対策法をとることができるか否か（予防接種</w:t>
      </w:r>
      <w:r w:rsidR="00C03120">
        <w:rPr>
          <w:rFonts w:ascii="ＭＳ 明朝" w:hAnsi="ＭＳ 明朝" w:hint="eastAsia"/>
          <w:sz w:val="22"/>
          <w:szCs w:val="22"/>
        </w:rPr>
        <w:t>等による予防，衛生対策，宿主動物又　は媒介動物対策も考慮する。）</w:t>
      </w:r>
    </w:p>
    <w:p w:rsidR="00793016" w:rsidRPr="00793016" w:rsidRDefault="00793016" w:rsidP="00793016">
      <w:pPr>
        <w:suppressAutoHyphens/>
        <w:overflowPunct w:val="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>6　有効な治療法がありそ</w:t>
      </w:r>
      <w:r w:rsidR="00C03120">
        <w:rPr>
          <w:rFonts w:ascii="ＭＳ 明朝" w:hAnsi="ＭＳ 明朝" w:hint="eastAsia"/>
          <w:sz w:val="22"/>
          <w:szCs w:val="22"/>
        </w:rPr>
        <w:t>れを受けることができるか否か（血清療法，曝露後ワクチン接種及び抗菌剤，抗ウイルス剤</w:t>
      </w:r>
      <w:r w:rsidRPr="00793016">
        <w:rPr>
          <w:rFonts w:ascii="ＭＳ 明朝" w:hAnsi="ＭＳ 明朝" w:hint="eastAsia"/>
          <w:sz w:val="22"/>
          <w:szCs w:val="22"/>
        </w:rPr>
        <w:t>その他の化学療法剤も考慮する</w:t>
      </w:r>
      <w:r w:rsidR="00C03120">
        <w:rPr>
          <w:rFonts w:ascii="ＭＳ 明朝" w:hAnsi="ＭＳ 明朝" w:hint="eastAsia"/>
          <w:sz w:val="22"/>
          <w:szCs w:val="22"/>
        </w:rPr>
        <w:t>。）</w:t>
      </w:r>
    </w:p>
    <w:p w:rsidR="00793016" w:rsidRPr="00793016" w:rsidRDefault="00793016" w:rsidP="00793016">
      <w:pPr>
        <w:suppressAutoHyphens/>
        <w:overflowPunct w:val="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>7</w:t>
      </w:r>
      <w:r w:rsidR="00C03120">
        <w:rPr>
          <w:rFonts w:ascii="ＭＳ 明朝" w:hAnsi="ＭＳ 明朝" w:hint="eastAsia"/>
          <w:sz w:val="22"/>
          <w:szCs w:val="22"/>
        </w:rPr>
        <w:t xml:space="preserve">　薬剤耐性株の出現の可能性</w:t>
      </w:r>
    </w:p>
    <w:p w:rsidR="00793016" w:rsidRPr="00793016" w:rsidRDefault="00793016" w:rsidP="00793016">
      <w:pPr>
        <w:suppressAutoHyphens/>
        <w:overflowPunct w:val="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>8　院内感染の重要な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="00C03120">
        <w:rPr>
          <w:rFonts w:ascii="ＭＳ 明朝" w:hAnsi="ＭＳ 明朝" w:hint="eastAsia"/>
          <w:sz w:val="22"/>
          <w:szCs w:val="22"/>
        </w:rPr>
        <w:t>であるか否か</w:t>
      </w:r>
    </w:p>
    <w:p w:rsidR="00793016" w:rsidRPr="00793016" w:rsidRDefault="00793016" w:rsidP="00793016">
      <w:pPr>
        <w:suppressAutoHyphens/>
        <w:overflowPunct w:val="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 xml:space="preserve">註：　</w:t>
      </w:r>
      <w:r w:rsidR="00726A41">
        <w:rPr>
          <w:rFonts w:ascii="ＭＳ 明朝" w:hAnsi="ＭＳ 明朝" w:hint="eastAsia"/>
          <w:sz w:val="22"/>
          <w:szCs w:val="22"/>
        </w:rPr>
        <w:t>この</w:t>
      </w:r>
      <w:r w:rsidRPr="00793016">
        <w:rPr>
          <w:rFonts w:ascii="ＭＳ 明朝" w:hAnsi="ＭＳ 明朝" w:hint="eastAsia"/>
          <w:sz w:val="22"/>
          <w:szCs w:val="22"/>
        </w:rPr>
        <w:t>規程では，</w:t>
      </w:r>
    </w:p>
    <w:p w:rsidR="00793016" w:rsidRPr="00793016" w:rsidRDefault="00793016" w:rsidP="00793016">
      <w:pPr>
        <w:suppressAutoHyphens/>
        <w:overflowPunct w:val="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/>
          <w:sz w:val="22"/>
          <w:szCs w:val="22"/>
        </w:rPr>
        <w:t>1）</w:t>
      </w:r>
      <w:r w:rsidRPr="00793016">
        <w:rPr>
          <w:rFonts w:ascii="ＭＳ 明朝" w:hAnsi="ＭＳ 明朝" w:hint="eastAsia"/>
          <w:sz w:val="22"/>
          <w:szCs w:val="22"/>
        </w:rPr>
        <w:t xml:space="preserve">　国内に常在しない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についてはより高いBSLに分類する場合がある。</w:t>
      </w:r>
    </w:p>
    <w:p w:rsidR="00793016" w:rsidRPr="00793016" w:rsidRDefault="00793016" w:rsidP="00793016">
      <w:pPr>
        <w:suppressAutoHyphens/>
        <w:overflowPunct w:val="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/>
          <w:sz w:val="22"/>
          <w:szCs w:val="22"/>
        </w:rPr>
        <w:t>2）</w:t>
      </w:r>
      <w:r w:rsidRPr="00793016">
        <w:rPr>
          <w:rFonts w:ascii="ＭＳ 明朝" w:hAnsi="ＭＳ 明朝" w:hint="eastAsia"/>
          <w:sz w:val="22"/>
          <w:szCs w:val="22"/>
        </w:rPr>
        <w:t xml:space="preserve">　臨床検体及び診断用検体の取扱いは通常BSL2で行う。ただし，臨床診断等からよりリスクの高い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が原因として疑われるときは，より高いBSLで扱うことを考慮する。</w:t>
      </w:r>
    </w:p>
    <w:p w:rsidR="00793016" w:rsidRPr="00793016" w:rsidRDefault="00793016" w:rsidP="00793016">
      <w:pPr>
        <w:suppressAutoHyphens/>
        <w:overflowPunct w:val="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/>
          <w:sz w:val="22"/>
          <w:szCs w:val="22"/>
        </w:rPr>
        <w:t>3）</w:t>
      </w:r>
      <w:r w:rsidRPr="00793016">
        <w:rPr>
          <w:rFonts w:ascii="ＭＳ 明朝" w:hAnsi="ＭＳ 明朝" w:hint="eastAsia"/>
          <w:sz w:val="22"/>
          <w:szCs w:val="22"/>
        </w:rPr>
        <w:t xml:space="preserve">　この分類において，「動物」は実験動物とする。</w:t>
      </w:r>
    </w:p>
    <w:p w:rsidR="00557B36" w:rsidRPr="00793016" w:rsidRDefault="00557B36">
      <w:pPr>
        <w:widowControl/>
        <w:spacing w:line="240" w:lineRule="auto"/>
        <w:ind w:left="0" w:firstLine="0"/>
        <w:jc w:val="left"/>
        <w:rPr>
          <w:rFonts w:ascii="ＭＳ 明朝" w:hAnsi="ＭＳ 明朝"/>
          <w:sz w:val="22"/>
          <w:szCs w:val="22"/>
        </w:rPr>
      </w:pPr>
    </w:p>
    <w:p w:rsidR="00793016" w:rsidRPr="00793016" w:rsidRDefault="00793016" w:rsidP="00793016">
      <w:pPr>
        <w:suppressAutoHyphens/>
        <w:overflowPunct w:val="0"/>
        <w:jc w:val="left"/>
        <w:rPr>
          <w:rFonts w:ascii="ＭＳ 明朝" w:hAnsi="ＭＳ 明朝"/>
          <w:b/>
          <w:sz w:val="22"/>
          <w:szCs w:val="22"/>
        </w:rPr>
      </w:pPr>
      <w:r w:rsidRPr="00793016">
        <w:rPr>
          <w:rFonts w:ascii="ＭＳ 明朝" w:hAnsi="ＭＳ 明朝" w:hint="eastAsia"/>
          <w:b/>
          <w:sz w:val="22"/>
          <w:szCs w:val="22"/>
        </w:rPr>
        <w:t>付表1－3</w:t>
      </w:r>
    </w:p>
    <w:p w:rsidR="00793016" w:rsidRPr="00793016" w:rsidRDefault="00793016" w:rsidP="00793016">
      <w:pPr>
        <w:suppressAutoHyphens/>
        <w:overflowPunct w:val="0"/>
        <w:ind w:left="0" w:firstLineChars="100" w:firstLine="221"/>
        <w:jc w:val="left"/>
        <w:rPr>
          <w:rFonts w:ascii="ＭＳ 明朝" w:hAnsi="ＭＳ 明朝"/>
          <w:b/>
          <w:sz w:val="22"/>
          <w:szCs w:val="22"/>
        </w:rPr>
      </w:pPr>
      <w:r w:rsidRPr="00793016">
        <w:rPr>
          <w:rFonts w:ascii="ＭＳ 明朝" w:hAnsi="ＭＳ 明朝" w:hint="eastAsia"/>
          <w:b/>
          <w:sz w:val="22"/>
          <w:szCs w:val="22"/>
        </w:rPr>
        <w:t xml:space="preserve">動物実験におけるリスク評価項目 </w:t>
      </w:r>
    </w:p>
    <w:p w:rsidR="00793016" w:rsidRPr="00793016" w:rsidRDefault="00002D0D" w:rsidP="00793016">
      <w:pPr>
        <w:suppressAutoHyphens/>
        <w:overflowPunct w:val="0"/>
        <w:ind w:leftChars="100" w:left="21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微生物等</w:t>
      </w:r>
      <w:r w:rsidR="00793016" w:rsidRPr="00793016">
        <w:rPr>
          <w:rFonts w:ascii="ＭＳ 明朝" w:hAnsi="ＭＳ 明朝" w:hint="eastAsia"/>
          <w:sz w:val="22"/>
          <w:szCs w:val="22"/>
        </w:rPr>
        <w:t>を用いた動物実験においては，付表1－2に以下の項目を加え，実験動物及びヒトへの感染のリスク評価を行い，実験動物用バイオセーフティレベル（ABSL）分類を決定する。</w:t>
      </w:r>
    </w:p>
    <w:p w:rsidR="00793016" w:rsidRPr="00793016" w:rsidRDefault="00793016" w:rsidP="00793016">
      <w:pPr>
        <w:suppressAutoHyphens/>
        <w:overflowPunct w:val="0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793016" w:rsidRPr="00793016" w:rsidRDefault="00793016" w:rsidP="00793016">
      <w:pPr>
        <w:suppressAutoHyphens/>
        <w:overflowPunct w:val="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/>
          <w:sz w:val="22"/>
          <w:szCs w:val="22"/>
        </w:rPr>
        <w:t>1</w:t>
      </w:r>
      <w:r w:rsidRPr="00793016">
        <w:rPr>
          <w:rFonts w:ascii="ＭＳ 明朝" w:hAnsi="ＭＳ 明朝" w:hint="eastAsia"/>
          <w:sz w:val="22"/>
          <w:szCs w:val="22"/>
        </w:rPr>
        <w:t xml:space="preserve">　取</w:t>
      </w:r>
      <w:r w:rsidR="00726A41">
        <w:rPr>
          <w:rFonts w:ascii="ＭＳ 明朝" w:hAnsi="ＭＳ 明朝" w:hint="eastAsia"/>
          <w:sz w:val="22"/>
          <w:szCs w:val="22"/>
        </w:rPr>
        <w:t>り</w:t>
      </w:r>
      <w:r w:rsidRPr="00793016">
        <w:rPr>
          <w:rFonts w:ascii="ＭＳ 明朝" w:hAnsi="ＭＳ 明朝" w:hint="eastAsia"/>
          <w:sz w:val="22"/>
          <w:szCs w:val="22"/>
        </w:rPr>
        <w:t>扱う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の実験動物間での感染・伝幡様式</w:t>
      </w:r>
    </w:p>
    <w:p w:rsidR="00793016" w:rsidRPr="00793016" w:rsidRDefault="00793016" w:rsidP="00793016">
      <w:pPr>
        <w:suppressAutoHyphens/>
        <w:overflowPunct w:val="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/>
          <w:sz w:val="22"/>
          <w:szCs w:val="22"/>
        </w:rPr>
        <w:t>2</w:t>
      </w:r>
      <w:r w:rsidRPr="00793016">
        <w:rPr>
          <w:rFonts w:ascii="ＭＳ 明朝" w:hAnsi="ＭＳ 明朝" w:hint="eastAsia"/>
          <w:sz w:val="22"/>
          <w:szCs w:val="22"/>
        </w:rPr>
        <w:t xml:space="preserve">　取</w:t>
      </w:r>
      <w:r w:rsidR="00726A41">
        <w:rPr>
          <w:rFonts w:ascii="ＭＳ 明朝" w:hAnsi="ＭＳ 明朝" w:hint="eastAsia"/>
          <w:sz w:val="22"/>
          <w:szCs w:val="22"/>
        </w:rPr>
        <w:t>り</w:t>
      </w:r>
      <w:r w:rsidRPr="00793016">
        <w:rPr>
          <w:rFonts w:ascii="ＭＳ 明朝" w:hAnsi="ＭＳ 明朝" w:hint="eastAsia"/>
          <w:sz w:val="22"/>
          <w:szCs w:val="22"/>
        </w:rPr>
        <w:t>扱う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を実験動物に接種する場合の感受性</w:t>
      </w:r>
    </w:p>
    <w:p w:rsidR="00793016" w:rsidRPr="00793016" w:rsidRDefault="00793016" w:rsidP="00793016">
      <w:pPr>
        <w:suppressAutoHyphens/>
        <w:overflowPunct w:val="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/>
          <w:sz w:val="22"/>
          <w:szCs w:val="22"/>
        </w:rPr>
        <w:t>3</w:t>
      </w:r>
      <w:r w:rsidRPr="00793016">
        <w:rPr>
          <w:rFonts w:ascii="ＭＳ 明朝" w:hAnsi="ＭＳ 明朝" w:hint="eastAsia"/>
          <w:sz w:val="22"/>
          <w:szCs w:val="22"/>
        </w:rPr>
        <w:t xml:space="preserve">　接種した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の体外への排出機構及びその量</w:t>
      </w:r>
    </w:p>
    <w:p w:rsidR="00793016" w:rsidRPr="00793016" w:rsidRDefault="00793016" w:rsidP="00793016">
      <w:pPr>
        <w:suppressAutoHyphens/>
        <w:overflowPunct w:val="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/>
          <w:sz w:val="22"/>
          <w:szCs w:val="22"/>
        </w:rPr>
        <w:t>4</w:t>
      </w:r>
      <w:r w:rsidRPr="00793016">
        <w:rPr>
          <w:rFonts w:ascii="ＭＳ 明朝" w:hAnsi="ＭＳ 明朝" w:hint="eastAsia"/>
          <w:sz w:val="22"/>
          <w:szCs w:val="22"/>
        </w:rPr>
        <w:t xml:space="preserve">　感染動物が野外へ出た場合，同種野生動物への感染及びヒトへの伝播</w:t>
      </w:r>
    </w:p>
    <w:p w:rsidR="00793016" w:rsidRPr="00793016" w:rsidRDefault="00793016" w:rsidP="00793016">
      <w:pPr>
        <w:suppressAutoHyphens/>
        <w:overflowPunct w:val="0"/>
        <w:jc w:val="left"/>
        <w:rPr>
          <w:rFonts w:ascii="ＭＳ 明朝" w:hAnsi="ＭＳ 明朝"/>
          <w:sz w:val="22"/>
          <w:szCs w:val="22"/>
        </w:rPr>
      </w:pPr>
    </w:p>
    <w:p w:rsidR="00793016" w:rsidRPr="00793016" w:rsidRDefault="00793016" w:rsidP="00793016">
      <w:pPr>
        <w:suppressAutoHyphens/>
        <w:overflowPunct w:val="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>註：　感染を伴わない毒素接種による検査については別途考慮する。</w:t>
      </w:r>
    </w:p>
    <w:p w:rsidR="00793016" w:rsidRPr="00793016" w:rsidRDefault="00793016">
      <w:pPr>
        <w:widowControl/>
        <w:spacing w:line="240" w:lineRule="auto"/>
        <w:ind w:left="0" w:firstLine="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/>
          <w:sz w:val="22"/>
          <w:szCs w:val="22"/>
        </w:rPr>
        <w:br w:type="page"/>
      </w:r>
    </w:p>
    <w:p w:rsidR="00793016" w:rsidRPr="00793016" w:rsidRDefault="00793016" w:rsidP="00793016">
      <w:pPr>
        <w:suppressAutoHyphens/>
        <w:overflowPunct w:val="0"/>
        <w:jc w:val="left"/>
        <w:rPr>
          <w:rFonts w:ascii="ＭＳ 明朝" w:hAnsi="ＭＳ 明朝"/>
          <w:b/>
          <w:sz w:val="22"/>
          <w:szCs w:val="22"/>
        </w:rPr>
      </w:pPr>
      <w:r w:rsidRPr="00793016">
        <w:rPr>
          <w:rFonts w:ascii="ＭＳ 明朝" w:hAnsi="ＭＳ 明朝" w:hint="eastAsia"/>
          <w:b/>
          <w:sz w:val="22"/>
          <w:szCs w:val="22"/>
        </w:rPr>
        <w:lastRenderedPageBreak/>
        <w:t>付表2</w:t>
      </w:r>
    </w:p>
    <w:p w:rsidR="00793016" w:rsidRPr="00793016" w:rsidRDefault="00002D0D" w:rsidP="00793016">
      <w:pPr>
        <w:suppressAutoHyphens/>
        <w:overflowPunct w:val="0"/>
        <w:ind w:left="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微生物等</w:t>
      </w:r>
      <w:r w:rsidR="00793016" w:rsidRPr="00793016">
        <w:rPr>
          <w:rFonts w:ascii="ＭＳ 明朝" w:hAnsi="ＭＳ 明朝" w:hint="eastAsia"/>
          <w:sz w:val="22"/>
          <w:szCs w:val="22"/>
        </w:rPr>
        <w:t>のリスク群分類と，実験室のBSL分類，実験室使用目的，実験手技及び安全機器との関連性</w:t>
      </w:r>
    </w:p>
    <w:p w:rsidR="00793016" w:rsidRPr="00793016" w:rsidRDefault="00793016" w:rsidP="00793016">
      <w:pPr>
        <w:suppressAutoHyphens/>
        <w:overflowPunct w:val="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 xml:space="preserve">　　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の取</w:t>
      </w:r>
      <w:r w:rsidR="00C03120">
        <w:rPr>
          <w:rFonts w:ascii="ＭＳ 明朝" w:hAnsi="ＭＳ 明朝" w:hint="eastAsia"/>
          <w:sz w:val="22"/>
          <w:szCs w:val="22"/>
        </w:rPr>
        <w:t>り</w:t>
      </w:r>
      <w:r w:rsidRPr="00793016">
        <w:rPr>
          <w:rFonts w:ascii="ＭＳ 明朝" w:hAnsi="ＭＳ 明朝" w:hint="eastAsia"/>
          <w:sz w:val="22"/>
          <w:szCs w:val="22"/>
        </w:rPr>
        <w:t>扱う実験室は，基本的なバイオセーフティレベルである実験室（BSL1及びBSL2）と，封じ込め実験室（BSL3），高度封じ込め実験室（BSL4）のいずれかに分類される。BSL1～4実験室の分類は，実験室の設計上の特徴，建築法，封じ込め設備，実験室内に設置される機器，実験手技や機器の運用方法に基づき決定される。付表2については，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を取</w:t>
      </w:r>
      <w:r w:rsidR="00C03120">
        <w:rPr>
          <w:rFonts w:ascii="ＭＳ 明朝" w:hAnsi="ＭＳ 明朝" w:hint="eastAsia"/>
          <w:sz w:val="22"/>
          <w:szCs w:val="22"/>
        </w:rPr>
        <w:t>り</w:t>
      </w:r>
      <w:r w:rsidRPr="00793016">
        <w:rPr>
          <w:rFonts w:ascii="ＭＳ 明朝" w:hAnsi="ＭＳ 明朝" w:hint="eastAsia"/>
          <w:sz w:val="22"/>
          <w:szCs w:val="22"/>
        </w:rPr>
        <w:t>扱う際に必要な実験室のBSLを決定するための基準と，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のリスク群との関連性を示したものである。ただし，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の取扱BSLは複数の要因を複合的に判断して決定するため，</w:t>
      </w:r>
      <w:r w:rsidR="00002D0D">
        <w:rPr>
          <w:rFonts w:ascii="ＭＳ 明朝" w:hAnsi="ＭＳ 明朝" w:hint="eastAsia"/>
          <w:sz w:val="22"/>
          <w:szCs w:val="22"/>
        </w:rPr>
        <w:t>微生物等</w:t>
      </w:r>
      <w:r w:rsidRPr="00793016">
        <w:rPr>
          <w:rFonts w:ascii="ＭＳ 明朝" w:hAnsi="ＭＳ 明朝" w:hint="eastAsia"/>
          <w:sz w:val="22"/>
          <w:szCs w:val="22"/>
        </w:rPr>
        <w:t>のリスク群と使用すべき実験室のBSLは，厳密に1対1対応するものではない。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134"/>
        <w:gridCol w:w="1134"/>
        <w:gridCol w:w="1985"/>
        <w:gridCol w:w="2977"/>
      </w:tblGrid>
      <w:tr w:rsidR="00557B36" w:rsidRPr="00793016" w:rsidTr="00557B36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3016" w:rsidRPr="00793016" w:rsidRDefault="00002D0D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>微生物等</w:t>
            </w:r>
            <w:r w:rsidR="00793016" w:rsidRPr="00793016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>のリスク群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3016" w:rsidRPr="00793016" w:rsidRDefault="00793016" w:rsidP="0001362B">
            <w:pPr>
              <w:widowControl/>
              <w:spacing w:line="240" w:lineRule="auto"/>
              <w:ind w:left="0" w:firstLine="0"/>
              <w:jc w:val="center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  <w:szCs w:val="22"/>
              </w:rPr>
            </w:pPr>
            <w:r w:rsidRPr="00793016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>実験室のBSL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3016" w:rsidRPr="00793016" w:rsidRDefault="00793016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  <w:szCs w:val="22"/>
              </w:rPr>
            </w:pPr>
            <w:r w:rsidRPr="00793016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>実験室の使用目的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3016" w:rsidRPr="00793016" w:rsidRDefault="00793016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  <w:szCs w:val="22"/>
              </w:rPr>
            </w:pPr>
            <w:r w:rsidRPr="00793016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>実験技法及び運用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3016" w:rsidRPr="00793016" w:rsidRDefault="00793016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  <w:szCs w:val="22"/>
              </w:rPr>
            </w:pPr>
            <w:r w:rsidRPr="00793016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>実験室の安全機器</w:t>
            </w:r>
          </w:p>
        </w:tc>
      </w:tr>
      <w:tr w:rsidR="00557B36" w:rsidRPr="00793016" w:rsidTr="00557B36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3016" w:rsidRPr="00793016" w:rsidRDefault="00793016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930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3016" w:rsidRPr="00793016" w:rsidRDefault="00793016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930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基本実験室-BSL1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3016" w:rsidRPr="00793016" w:rsidRDefault="00793016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930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教育，研究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3016" w:rsidRPr="00793016" w:rsidRDefault="00793016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930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GMT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3016" w:rsidRPr="00793016" w:rsidRDefault="00793016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930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特になし(開放型実験台)</w:t>
            </w:r>
          </w:p>
        </w:tc>
      </w:tr>
      <w:tr w:rsidR="00557B36" w:rsidRPr="00793016" w:rsidTr="00557B36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3016" w:rsidRPr="00793016" w:rsidRDefault="00793016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930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3016" w:rsidRPr="00793016" w:rsidRDefault="00793016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930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基本実験室-BSL2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3016" w:rsidRPr="00793016" w:rsidRDefault="00793016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930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一般診断検査，研究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3016" w:rsidRPr="00793016" w:rsidRDefault="00793016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930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GMT，PPE，バイオハザード標識表示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3016" w:rsidRPr="00793016" w:rsidRDefault="00002D0D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微生物等</w:t>
            </w:r>
            <w:r w:rsidR="00793016" w:rsidRPr="007930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の取り扱いはBSCで行う。</w:t>
            </w:r>
          </w:p>
        </w:tc>
      </w:tr>
      <w:tr w:rsidR="00557B36" w:rsidRPr="00793016" w:rsidTr="00557B36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3016" w:rsidRPr="00793016" w:rsidRDefault="00793016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930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3016" w:rsidRPr="00793016" w:rsidRDefault="00793016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930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封じ込め実験室-BSL3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3016" w:rsidRPr="00793016" w:rsidRDefault="00793016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930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特殊診断検査，研究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3016" w:rsidRPr="00793016" w:rsidRDefault="00793016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930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上記BSL2の各項目，専用PPE，立ち入り厳重制限，一方向性の気流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3016" w:rsidRPr="00793016" w:rsidRDefault="00002D0D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微生物等</w:t>
            </w:r>
            <w:r w:rsidR="007019C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の取</w:t>
            </w:r>
            <w:r w:rsidR="00793016" w:rsidRPr="007930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扱いの全操作をBSC</w:t>
            </w:r>
            <w:r w:rsidR="00726A4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又</w:t>
            </w:r>
            <w:r w:rsidR="007019C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は</w:t>
            </w:r>
            <w:r w:rsidR="00793016" w:rsidRPr="007930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その他の一時封じ込め装置を用いて行う。</w:t>
            </w:r>
          </w:p>
        </w:tc>
      </w:tr>
      <w:tr w:rsidR="00557B36" w:rsidRPr="00793016" w:rsidTr="00557B36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3016" w:rsidRPr="00793016" w:rsidRDefault="00793016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930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3016" w:rsidRPr="00793016" w:rsidRDefault="00793016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930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高度封じ込め実験室-BSL4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3016" w:rsidRPr="00793016" w:rsidRDefault="00793016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930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高度診断検査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3016" w:rsidRPr="00793016" w:rsidRDefault="00793016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930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上記BSL3の各項目，エアロックを通っての入室，退出時シャワー，専用廃棄物処理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3016" w:rsidRPr="00793016" w:rsidRDefault="00793016" w:rsidP="0001362B">
            <w:pPr>
              <w:widowControl/>
              <w:spacing w:line="240" w:lineRule="auto"/>
              <w:ind w:left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930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クラスIIIBSC</w:t>
            </w:r>
            <w:r w:rsidR="00726A4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又</w:t>
            </w:r>
            <w:r w:rsidRPr="007930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は，陽圧スーツと，クラスIIIBSCに加え，両面オートクレーブ，吸排気はフィルター濾過</w:t>
            </w:r>
          </w:p>
        </w:tc>
      </w:tr>
    </w:tbl>
    <w:p w:rsidR="00793016" w:rsidRPr="00793016" w:rsidRDefault="00793016" w:rsidP="00793016">
      <w:pPr>
        <w:suppressAutoHyphens/>
        <w:overflowPunct w:val="0"/>
        <w:jc w:val="left"/>
        <w:rPr>
          <w:rFonts w:ascii="ＭＳ 明朝" w:hAnsi="ＭＳ 明朝"/>
          <w:sz w:val="22"/>
          <w:szCs w:val="22"/>
        </w:rPr>
      </w:pPr>
      <w:r w:rsidRPr="00793016">
        <w:rPr>
          <w:rFonts w:ascii="ＭＳ 明朝" w:hAnsi="ＭＳ 明朝" w:hint="eastAsia"/>
          <w:sz w:val="22"/>
          <w:szCs w:val="22"/>
        </w:rPr>
        <w:t>※略語：BSC：生物学用安全キャビネット，GMT：標準微生物学実験手技，PPE：個人用曝露防止器具</w:t>
      </w:r>
    </w:p>
    <w:p w:rsidR="00793016" w:rsidRDefault="00793016">
      <w:pPr>
        <w:widowControl/>
        <w:spacing w:line="240" w:lineRule="auto"/>
        <w:ind w:left="0" w:firstLine="0"/>
        <w:jc w:val="left"/>
        <w:rPr>
          <w:rFonts w:ascii="ＭＳ 明朝" w:hAnsi="ＭＳ 明朝"/>
          <w:sz w:val="22"/>
          <w:szCs w:val="22"/>
        </w:rPr>
      </w:pPr>
    </w:p>
    <w:sectPr w:rsidR="007930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16"/>
    <w:rsid w:val="00002D0D"/>
    <w:rsid w:val="001A557D"/>
    <w:rsid w:val="003D2425"/>
    <w:rsid w:val="004B1B6A"/>
    <w:rsid w:val="00557B36"/>
    <w:rsid w:val="007019C6"/>
    <w:rsid w:val="00726A41"/>
    <w:rsid w:val="00793016"/>
    <w:rsid w:val="008368E4"/>
    <w:rsid w:val="00873A5F"/>
    <w:rsid w:val="00C0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BFABC"/>
  <w15:chartTrackingRefBased/>
  <w15:docId w15:val="{8D91B586-BB53-4213-8231-5CD03B45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016"/>
    <w:pPr>
      <w:widowControl w:val="0"/>
      <w:spacing w:line="0" w:lineRule="atLeast"/>
      <w:ind w:left="57" w:hanging="57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793016"/>
    <w:rPr>
      <w:sz w:val="18"/>
      <w:szCs w:val="18"/>
    </w:rPr>
  </w:style>
  <w:style w:type="paragraph" w:styleId="a4">
    <w:name w:val="annotation text"/>
    <w:basedOn w:val="a"/>
    <w:link w:val="a5"/>
    <w:uiPriority w:val="99"/>
    <w:rsid w:val="00793016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93016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30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301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Plain Text"/>
    <w:basedOn w:val="a"/>
    <w:link w:val="a9"/>
    <w:rsid w:val="00557B36"/>
    <w:pPr>
      <w:spacing w:line="240" w:lineRule="auto"/>
      <w:ind w:left="0" w:firstLine="0"/>
    </w:pPr>
    <w:rPr>
      <w:rFonts w:ascii="ＭＳ 明朝" w:hAnsi="Courier New" w:cs="Courier New"/>
      <w:dstrike/>
      <w:color w:val="FF0000"/>
      <w:szCs w:val="21"/>
    </w:rPr>
  </w:style>
  <w:style w:type="character" w:customStyle="1" w:styleId="a9">
    <w:name w:val="書式なし (文字)"/>
    <w:basedOn w:val="a0"/>
    <w:link w:val="a8"/>
    <w:rsid w:val="00557B36"/>
    <w:rPr>
      <w:rFonts w:ascii="ＭＳ 明朝" w:eastAsia="ＭＳ 明朝" w:hAnsi="Courier New" w:cs="Courier New"/>
      <w:dstrike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8C8D-3180-466D-8FB5-93862B5F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020245KB</dc:creator>
  <cp:keywords/>
  <dc:description/>
  <cp:lastModifiedBy>法規係</cp:lastModifiedBy>
  <cp:revision>8</cp:revision>
  <dcterms:created xsi:type="dcterms:W3CDTF">2020-02-06T04:55:00Z</dcterms:created>
  <dcterms:modified xsi:type="dcterms:W3CDTF">2020-03-17T11:35:00Z</dcterms:modified>
</cp:coreProperties>
</file>